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8E39" w14:textId="77777777" w:rsidR="003C3C81" w:rsidRPr="004032F6" w:rsidRDefault="003C3C81" w:rsidP="004032F6">
      <w:pPr>
        <w:pStyle w:val="ListParagraph"/>
        <w:widowControl w:val="0"/>
        <w:ind w:left="0"/>
        <w:jc w:val="both"/>
        <w:rPr>
          <w:rFonts w:ascii="Times New Roman" w:hAnsi="Times New Roman"/>
          <w:b/>
          <w:noProof/>
          <w:color w:val="000000" w:themeColor="text1"/>
          <w:lang w:val="bg-BG"/>
        </w:rPr>
      </w:pPr>
      <w:bookmarkStart w:id="0" w:name="_Hlk200612092"/>
    </w:p>
    <w:p w14:paraId="14FE5055" w14:textId="385DD02C" w:rsidR="00022061" w:rsidRPr="004032F6" w:rsidRDefault="00022061" w:rsidP="004032F6">
      <w:pPr>
        <w:pStyle w:val="ListParagraph"/>
        <w:widowControl w:val="0"/>
        <w:ind w:left="0"/>
        <w:jc w:val="right"/>
        <w:rPr>
          <w:rFonts w:ascii="Times New Roman" w:hAnsi="Times New Roman"/>
          <w:bCs/>
          <w:noProof/>
          <w:color w:val="000000" w:themeColor="text1"/>
          <w:lang w:val="en-US"/>
        </w:rPr>
      </w:pPr>
      <w:r w:rsidRPr="004032F6">
        <w:rPr>
          <w:rFonts w:ascii="Times New Roman" w:hAnsi="Times New Roman"/>
          <w:bCs/>
          <w:noProof/>
          <w:color w:val="000000" w:themeColor="text1"/>
          <w:lang w:val="bg-BG"/>
        </w:rPr>
        <w:t xml:space="preserve">Приложение </w:t>
      </w:r>
      <w:r w:rsidRPr="004032F6">
        <w:rPr>
          <w:rFonts w:ascii="Times New Roman" w:hAnsi="Times New Roman"/>
          <w:bCs/>
          <w:noProof/>
          <w:color w:val="000000" w:themeColor="text1"/>
          <w:lang w:val="en-US"/>
        </w:rPr>
        <w:t>1</w:t>
      </w:r>
    </w:p>
    <w:p w14:paraId="477267C1" w14:textId="77777777" w:rsidR="00B601E2" w:rsidRPr="004032F6" w:rsidRDefault="00B601E2" w:rsidP="004032F6">
      <w:pPr>
        <w:keepLines/>
        <w:tabs>
          <w:tab w:val="left" w:pos="760"/>
        </w:tabs>
        <w:suppressAutoHyphens/>
        <w:jc w:val="center"/>
        <w:rPr>
          <w:rFonts w:ascii="Times New Roman" w:hAnsi="Times New Roman"/>
          <w:b/>
          <w:snapToGrid w:val="0"/>
          <w:color w:val="000000" w:themeColor="text1"/>
          <w:sz w:val="22"/>
          <w:szCs w:val="22"/>
          <w:lang w:val="bg-BG"/>
        </w:rPr>
      </w:pPr>
      <w:r w:rsidRPr="004032F6">
        <w:rPr>
          <w:rFonts w:ascii="Times New Roman" w:hAnsi="Times New Roman"/>
          <w:b/>
          <w:snapToGrid w:val="0"/>
          <w:color w:val="000000" w:themeColor="text1"/>
          <w:sz w:val="22"/>
          <w:szCs w:val="22"/>
          <w:lang w:val="bg-BG"/>
        </w:rPr>
        <w:t>ТЕХНИЧЕСКА СПЕЦИФИКАЦИЯ</w:t>
      </w:r>
    </w:p>
    <w:p w14:paraId="0B032D5C" w14:textId="77777777" w:rsidR="00B601E2" w:rsidRPr="004032F6" w:rsidRDefault="00B601E2" w:rsidP="004032F6">
      <w:pPr>
        <w:keepLines/>
        <w:tabs>
          <w:tab w:val="left" w:pos="760"/>
        </w:tabs>
        <w:suppressAutoHyphens/>
        <w:jc w:val="both"/>
        <w:rPr>
          <w:rFonts w:ascii="Times New Roman" w:hAnsi="Times New Roman"/>
          <w:b/>
          <w:snapToGrid w:val="0"/>
          <w:color w:val="000000" w:themeColor="text1"/>
          <w:sz w:val="22"/>
          <w:szCs w:val="22"/>
          <w:lang w:val="en-US"/>
        </w:rPr>
      </w:pPr>
    </w:p>
    <w:p w14:paraId="682299E6" w14:textId="77777777" w:rsidR="004032F6" w:rsidRPr="004032F6" w:rsidRDefault="004032F6" w:rsidP="004032F6">
      <w:pPr>
        <w:widowControl w:val="0"/>
        <w:numPr>
          <w:ilvl w:val="0"/>
          <w:numId w:val="20"/>
        </w:numPr>
        <w:ind w:left="0" w:firstLine="0"/>
        <w:jc w:val="both"/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b/>
          <w:bCs/>
          <w:color w:val="000000" w:themeColor="text1"/>
          <w:sz w:val="22"/>
          <w:szCs w:val="22"/>
          <w:lang w:val="bg-BG" w:eastAsia="bg-BG"/>
        </w:rPr>
        <w:t>Предмет на договора</w:t>
      </w:r>
      <w:r w:rsidRPr="004032F6">
        <w:rPr>
          <w:rFonts w:ascii="Times New Roman" w:hAnsi="Times New Roman"/>
          <w:bCs/>
          <w:color w:val="000000" w:themeColor="text1"/>
          <w:sz w:val="22"/>
          <w:szCs w:val="22"/>
          <w:lang w:val="bg-BG" w:eastAsia="bg-BG"/>
        </w:rPr>
        <w:t xml:space="preserve"> е извършването на услуги и дейности за безопасна работа на височина във всички сфери от дейността на „Софийска вода“ АД</w:t>
      </w: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>.</w:t>
      </w:r>
    </w:p>
    <w:p w14:paraId="1276F5FB" w14:textId="77777777" w:rsidR="004032F6" w:rsidRPr="004032F6" w:rsidRDefault="004032F6" w:rsidP="004032F6">
      <w:pPr>
        <w:widowControl w:val="0"/>
        <w:numPr>
          <w:ilvl w:val="0"/>
          <w:numId w:val="20"/>
        </w:numPr>
        <w:ind w:left="0" w:firstLine="0"/>
        <w:jc w:val="both"/>
        <w:rPr>
          <w:rFonts w:ascii="Times New Roman" w:eastAsia="Calibri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eastAsia="Calibri" w:hAnsi="Times New Roman"/>
          <w:color w:val="000000" w:themeColor="text1"/>
          <w:sz w:val="22"/>
          <w:szCs w:val="22"/>
          <w:lang w:val="bg-BG" w:eastAsia="bg-BG"/>
        </w:rPr>
        <w:t xml:space="preserve">Наблюдението на работните процеси и обекти на Възложителя ще се извършва по локации на територията на Столична община. </w:t>
      </w:r>
    </w:p>
    <w:p w14:paraId="78C76776" w14:textId="77777777" w:rsidR="004032F6" w:rsidRPr="004032F6" w:rsidRDefault="004032F6" w:rsidP="004032F6">
      <w:pPr>
        <w:widowControl w:val="0"/>
        <w:numPr>
          <w:ilvl w:val="0"/>
          <w:numId w:val="20"/>
        </w:numPr>
        <w:ind w:left="0" w:firstLine="0"/>
        <w:jc w:val="both"/>
        <w:rPr>
          <w:rFonts w:ascii="Times New Roman" w:hAnsi="Times New Roman"/>
          <w:b/>
          <w:color w:val="000000" w:themeColor="text1"/>
          <w:sz w:val="22"/>
          <w:szCs w:val="22"/>
          <w:lang w:val="bg-BG" w:eastAsia="bg-BG"/>
        </w:rPr>
      </w:pPr>
      <w:bookmarkStart w:id="1" w:name="_Hlk166244225"/>
      <w:r w:rsidRPr="004032F6">
        <w:rPr>
          <w:rFonts w:ascii="Times New Roman" w:hAnsi="Times New Roman"/>
          <w:b/>
          <w:color w:val="000000" w:themeColor="text1"/>
          <w:sz w:val="22"/>
          <w:szCs w:val="22"/>
          <w:lang w:val="bg-BG" w:eastAsia="bg-BG"/>
        </w:rPr>
        <w:t>Основни дейности, предмет на договора:</w:t>
      </w:r>
      <w:bookmarkEnd w:id="1"/>
    </w:p>
    <w:p w14:paraId="14D90C6F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eastAsia="Calibri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eastAsia="Calibri" w:hAnsi="Times New Roman"/>
          <w:color w:val="000000" w:themeColor="text1"/>
          <w:sz w:val="22"/>
          <w:szCs w:val="22"/>
          <w:lang w:val="bg-BG" w:eastAsia="bg-BG"/>
        </w:rPr>
        <w:t>Дейностите за обезопасяване на достъп и евакуация на височина и в ограничени пространства са описани в Ценовата таблица от раздел Б: Цени и данни от договора.</w:t>
      </w:r>
    </w:p>
    <w:p w14:paraId="65BECDD2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eastAsia="Calibri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bCs/>
          <w:color w:val="000000" w:themeColor="text1"/>
          <w:sz w:val="22"/>
          <w:szCs w:val="22"/>
          <w:lang w:val="bg-BG" w:eastAsia="bg-BG"/>
        </w:rPr>
        <w:t>Дейностите, предмет на договора, включват доставка на елементи, изграждане и монтаж на осигурителна линия.</w:t>
      </w:r>
    </w:p>
    <w:p w14:paraId="63EAE6C6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eastAsia="Calibri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eastAsia="Calibri" w:hAnsi="Times New Roman"/>
          <w:color w:val="000000" w:themeColor="text1"/>
          <w:sz w:val="22"/>
          <w:szCs w:val="22"/>
          <w:lang w:val="bg-BG" w:eastAsia="bg-BG"/>
        </w:rPr>
        <w:t xml:space="preserve">Дейностите, предмет на договора, се извършват след конкретно писмено възлагане по имейл и се приемат с приемо-предавателни протоколи. </w:t>
      </w:r>
    </w:p>
    <w:p w14:paraId="45A432F0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 xml:space="preserve">При възникнала необходимост, Възложителят си запазва правото да възлага допълнителни сходни дейности, различни от описаните в Ценовата таблица. Стойността на тези дейности е до 15% (петнадесет процента) от стойността на Договора. </w:t>
      </w:r>
    </w:p>
    <w:p w14:paraId="47430870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eastAsia="Calibri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>В случаите по горната точка, Изпълнителят предоставя калкулация с информация за цената на съответната дейност. Калкулацията с информацията за цените се прилага единствено след одобрение от Контролиращия служител по договора от страна на Възложителя.</w:t>
      </w:r>
    </w:p>
    <w:p w14:paraId="71A79610" w14:textId="77777777" w:rsidR="004032F6" w:rsidRPr="004032F6" w:rsidRDefault="004032F6" w:rsidP="004032F6">
      <w:pPr>
        <w:widowControl w:val="0"/>
        <w:numPr>
          <w:ilvl w:val="0"/>
          <w:numId w:val="20"/>
        </w:numPr>
        <w:ind w:left="0" w:firstLine="0"/>
        <w:jc w:val="both"/>
        <w:rPr>
          <w:rFonts w:ascii="Times New Roman" w:hAnsi="Times New Roman"/>
          <w:b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b/>
          <w:color w:val="000000" w:themeColor="text1"/>
          <w:sz w:val="22"/>
          <w:szCs w:val="22"/>
          <w:lang w:val="bg-BG" w:eastAsia="bg-BG"/>
        </w:rPr>
        <w:t>Изисквания към изпълнението на дейностите, предмет на договора</w:t>
      </w:r>
    </w:p>
    <w:p w14:paraId="4534DACC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>Изпълнителят извършва монтаж на осигурителното оборудване в съответствие с инструкцията на производителя и стандарт EN 795 или еквивалент.</w:t>
      </w:r>
    </w:p>
    <w:p w14:paraId="17BAAF09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>Изпълнителят извършва дейностите, предмет на договора, при спазване на правилата за безопасна работа на височина и работа в ограничени пространства, съгласно изискванията на Наредба № 2 от 22 март 2004 г. за минималните изисквания за здравословни и безопасни условия на труд при извършване на строителни и монтажни работи и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оборудване.</w:t>
      </w:r>
    </w:p>
    <w:p w14:paraId="6FD9A776" w14:textId="77777777" w:rsidR="004032F6" w:rsidRPr="004032F6" w:rsidRDefault="004032F6" w:rsidP="004032F6">
      <w:pPr>
        <w:pStyle w:val="ListParagraph"/>
        <w:widowControl w:val="0"/>
        <w:numPr>
          <w:ilvl w:val="0"/>
          <w:numId w:val="20"/>
        </w:numPr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>Монтираното осигурително оборудване трябва да бъде придружено със следните документи:</w:t>
      </w:r>
    </w:p>
    <w:p w14:paraId="0BFA46BE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>Инструкция за експлоатация на български език;</w:t>
      </w:r>
    </w:p>
    <w:p w14:paraId="1B7897A8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>ЕС Декларации за съответствие с БДС EN 795:2012, тип А (оригинал и екземпляр на български език) или еквивалент, съгласно чл. 7 от Наредба за съществените изисквания и оценяване съответствието на личните предпазни средства за планката;</w:t>
      </w:r>
    </w:p>
    <w:p w14:paraId="7C5EB715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>Протокол за проведено изпитване след монтажа;</w:t>
      </w:r>
    </w:p>
    <w:p w14:paraId="58A2A387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ind w:left="0" w:firstLine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color w:val="000000" w:themeColor="text1"/>
          <w:sz w:val="22"/>
          <w:szCs w:val="22"/>
          <w:lang w:val="bg-BG" w:eastAsia="bg-BG"/>
        </w:rPr>
        <w:t xml:space="preserve">Приемо-предавателен протокол.  </w:t>
      </w:r>
    </w:p>
    <w:p w14:paraId="72685878" w14:textId="77777777" w:rsidR="004032F6" w:rsidRPr="004032F6" w:rsidRDefault="004032F6" w:rsidP="004032F6">
      <w:pPr>
        <w:widowControl w:val="0"/>
        <w:numPr>
          <w:ilvl w:val="0"/>
          <w:numId w:val="20"/>
        </w:numPr>
        <w:tabs>
          <w:tab w:val="left" w:pos="227"/>
          <w:tab w:val="left" w:pos="1106"/>
          <w:tab w:val="left" w:pos="1560"/>
        </w:tabs>
        <w:ind w:left="0" w:firstLine="0"/>
        <w:jc w:val="both"/>
        <w:rPr>
          <w:rFonts w:ascii="Times New Roman" w:hAnsi="Times New Roman"/>
          <w:color w:val="000000" w:themeColor="text1"/>
          <w:spacing w:val="-5"/>
          <w:sz w:val="22"/>
          <w:szCs w:val="22"/>
          <w:lang w:val="bg-BG"/>
        </w:rPr>
      </w:pPr>
      <w:r w:rsidRPr="004032F6">
        <w:rPr>
          <w:rFonts w:ascii="Times New Roman" w:eastAsia="Calibri" w:hAnsi="Times New Roman"/>
          <w:b/>
          <w:color w:val="000000" w:themeColor="text1"/>
          <w:spacing w:val="-5"/>
          <w:sz w:val="22"/>
          <w:szCs w:val="22"/>
          <w:lang w:val="bg-BG"/>
        </w:rPr>
        <w:t>Срокове за изпълнение на дейностите, предмет на договора</w:t>
      </w:r>
    </w:p>
    <w:p w14:paraId="2816D90C" w14:textId="499747DC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tabs>
          <w:tab w:val="left" w:pos="227"/>
          <w:tab w:val="left" w:pos="1106"/>
          <w:tab w:val="left" w:pos="1560"/>
        </w:tabs>
        <w:ind w:left="0" w:firstLine="0"/>
        <w:contextualSpacing w:val="0"/>
        <w:jc w:val="both"/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</w:pPr>
      <w:r w:rsidRPr="004032F6"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  <w:t xml:space="preserve">Срокът за изпълнение на дейностите, включително </w:t>
      </w:r>
      <w:r w:rsidRPr="004032F6">
        <w:rPr>
          <w:rFonts w:ascii="Times New Roman" w:hAnsi="Times New Roman"/>
          <w:bCs/>
          <w:color w:val="000000" w:themeColor="text1"/>
          <w:sz w:val="22"/>
          <w:szCs w:val="22"/>
          <w:lang w:val="bg-BG" w:eastAsia="bg-BG"/>
        </w:rPr>
        <w:t>доставка на елементи, изграждане и монтаж на осигурителна линия,</w:t>
      </w:r>
      <w:r w:rsidRPr="004032F6"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  <w:t xml:space="preserve"> е съгласно предложението на Изпълнителя в Таблица „Срокове“, но не по-дълъг от 40 работни дни, </w:t>
      </w:r>
      <w:r w:rsidR="00FD2F06"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  <w:t xml:space="preserve">за всяка възложена дейност, </w:t>
      </w:r>
      <w:r w:rsidRPr="004032F6"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  <w:t xml:space="preserve">считано от датата на писмено възлагане по </w:t>
      </w:r>
      <w:r w:rsidR="00FD2F06"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  <w:t>електронна поща</w:t>
      </w:r>
      <w:r w:rsidRPr="004032F6"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  <w:t>.</w:t>
      </w:r>
    </w:p>
    <w:p w14:paraId="0F91791B" w14:textId="77777777" w:rsidR="004032F6" w:rsidRPr="004032F6" w:rsidRDefault="004032F6" w:rsidP="004032F6">
      <w:pPr>
        <w:pStyle w:val="ListParagraph"/>
        <w:widowControl w:val="0"/>
        <w:numPr>
          <w:ilvl w:val="1"/>
          <w:numId w:val="20"/>
        </w:numPr>
        <w:tabs>
          <w:tab w:val="left" w:pos="227"/>
          <w:tab w:val="left" w:pos="1106"/>
          <w:tab w:val="left" w:pos="1560"/>
        </w:tabs>
        <w:ind w:left="0" w:firstLine="0"/>
        <w:contextualSpacing w:val="0"/>
        <w:jc w:val="both"/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</w:pPr>
      <w:r w:rsidRPr="004032F6"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  <w:t>При неблагоприятни атмосферни условия или форсмажорни</w:t>
      </w:r>
      <w:r w:rsidRPr="004032F6"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en-US"/>
        </w:rPr>
        <w:t xml:space="preserve"> </w:t>
      </w:r>
      <w:r w:rsidRPr="004032F6">
        <w:rPr>
          <w:rFonts w:ascii="Times New Roman" w:eastAsia="Calibri" w:hAnsi="Times New Roman"/>
          <w:color w:val="000000" w:themeColor="text1"/>
          <w:spacing w:val="-5"/>
          <w:sz w:val="22"/>
          <w:szCs w:val="22"/>
          <w:lang w:val="bg-BG"/>
        </w:rPr>
        <w:t>обстоятелства, срокът за изпълнение на дейностите се съгласува писмено с контролиращия служител на Възложителя.</w:t>
      </w:r>
    </w:p>
    <w:p w14:paraId="5ADFA8D2" w14:textId="77777777" w:rsidR="004032F6" w:rsidRPr="004032F6" w:rsidRDefault="004032F6" w:rsidP="004032F6">
      <w:pPr>
        <w:pStyle w:val="ListParagraph"/>
        <w:widowControl w:val="0"/>
        <w:numPr>
          <w:ilvl w:val="0"/>
          <w:numId w:val="20"/>
        </w:numPr>
        <w:ind w:left="0" w:firstLine="0"/>
        <w:contextualSpacing w:val="0"/>
        <w:jc w:val="both"/>
        <w:rPr>
          <w:rFonts w:ascii="Times New Roman" w:hAnsi="Times New Roman"/>
          <w:b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b/>
          <w:color w:val="000000" w:themeColor="text1"/>
          <w:sz w:val="22"/>
          <w:szCs w:val="22"/>
          <w:lang w:val="bg-BG" w:eastAsia="bg-BG"/>
        </w:rPr>
        <w:t xml:space="preserve">Обекти на Възложителя, на които ще бъдат изпълнявани дейностите, предмет на договора: </w:t>
      </w:r>
    </w:p>
    <w:p w14:paraId="515C59FA" w14:textId="77777777" w:rsidR="004032F6" w:rsidRPr="004032F6" w:rsidRDefault="004032F6" w:rsidP="004032F6">
      <w:pPr>
        <w:pStyle w:val="ListParagraph"/>
        <w:widowControl w:val="0"/>
        <w:ind w:left="0"/>
        <w:contextualSpacing w:val="0"/>
        <w:jc w:val="both"/>
        <w:rPr>
          <w:rFonts w:ascii="Times New Roman" w:hAnsi="Times New Roman"/>
          <w:bCs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bCs/>
          <w:color w:val="000000" w:themeColor="text1"/>
          <w:sz w:val="22"/>
          <w:szCs w:val="22"/>
          <w:lang w:val="bg-BG" w:eastAsia="bg-BG"/>
        </w:rPr>
        <w:t>7.1.Водопроводни съоръжения по пътя на питейната вода – разпределителни камери; шахти; пречиствателни станции за питейни води; изравнителни резервоари по водопроводната мрежа и др.;</w:t>
      </w:r>
    </w:p>
    <w:p w14:paraId="5EF4B5EB" w14:textId="77777777" w:rsidR="004032F6" w:rsidRPr="004032F6" w:rsidRDefault="004032F6" w:rsidP="004032F6">
      <w:pPr>
        <w:pStyle w:val="ListParagraph"/>
        <w:widowControl w:val="0"/>
        <w:ind w:left="0"/>
        <w:contextualSpacing w:val="0"/>
        <w:jc w:val="both"/>
        <w:rPr>
          <w:rFonts w:ascii="Times New Roman" w:hAnsi="Times New Roman"/>
          <w:bCs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bCs/>
          <w:color w:val="000000" w:themeColor="text1"/>
          <w:sz w:val="22"/>
          <w:szCs w:val="22"/>
          <w:lang w:val="bg-BG" w:eastAsia="bg-BG"/>
        </w:rPr>
        <w:t>7.2.Канализационни и съоръжения по пътя на отпадъчната вода, включително при възникнала необходимост - СПСОВ Кубратово и др.</w:t>
      </w:r>
    </w:p>
    <w:p w14:paraId="6CF3DA00" w14:textId="77777777" w:rsidR="004032F6" w:rsidRPr="004032F6" w:rsidRDefault="004032F6" w:rsidP="004032F6">
      <w:pPr>
        <w:pStyle w:val="ListParagraph"/>
        <w:widowControl w:val="0"/>
        <w:ind w:left="0"/>
        <w:contextualSpacing w:val="0"/>
        <w:jc w:val="both"/>
        <w:rPr>
          <w:rFonts w:ascii="Times New Roman" w:hAnsi="Times New Roman"/>
          <w:bCs/>
          <w:color w:val="000000" w:themeColor="text1"/>
          <w:sz w:val="22"/>
          <w:szCs w:val="22"/>
          <w:lang w:val="bg-BG" w:eastAsia="bg-BG"/>
        </w:rPr>
      </w:pPr>
      <w:r w:rsidRPr="004032F6">
        <w:rPr>
          <w:rFonts w:ascii="Times New Roman" w:hAnsi="Times New Roman"/>
          <w:bCs/>
          <w:color w:val="000000" w:themeColor="text1"/>
          <w:sz w:val="22"/>
          <w:szCs w:val="22"/>
          <w:lang w:val="bg-BG" w:eastAsia="bg-BG"/>
        </w:rPr>
        <w:t>7.3. Други обекти и съоръжения на Възложителя на територията на Концесионната област, в която оперира, за които е възникнала необходимост.</w:t>
      </w:r>
    </w:p>
    <w:p w14:paraId="61FF25D6" w14:textId="77777777" w:rsidR="004032F6" w:rsidRPr="004032F6" w:rsidRDefault="004032F6" w:rsidP="004032F6">
      <w:pPr>
        <w:widowControl w:val="0"/>
        <w:tabs>
          <w:tab w:val="left" w:pos="227"/>
          <w:tab w:val="left" w:pos="1106"/>
          <w:tab w:val="left" w:pos="1560"/>
        </w:tabs>
        <w:contextualSpacing/>
        <w:jc w:val="both"/>
        <w:rPr>
          <w:rFonts w:ascii="Times New Roman" w:hAnsi="Times New Roman"/>
          <w:color w:val="000000" w:themeColor="text1"/>
          <w:spacing w:val="-5"/>
          <w:sz w:val="22"/>
          <w:szCs w:val="22"/>
          <w:lang w:val="bg-BG"/>
        </w:rPr>
      </w:pPr>
    </w:p>
    <w:p w14:paraId="145B7C0E" w14:textId="77777777" w:rsidR="004032F6" w:rsidRPr="004032F6" w:rsidRDefault="004032F6" w:rsidP="004032F6">
      <w:pPr>
        <w:pStyle w:val="ListParagraph"/>
        <w:widowControl w:val="0"/>
        <w:numPr>
          <w:ilvl w:val="0"/>
          <w:numId w:val="20"/>
        </w:numPr>
        <w:tabs>
          <w:tab w:val="left" w:pos="227"/>
          <w:tab w:val="left" w:pos="1106"/>
          <w:tab w:val="left" w:pos="1560"/>
        </w:tabs>
        <w:ind w:left="0" w:firstLine="0"/>
        <w:jc w:val="both"/>
        <w:rPr>
          <w:rFonts w:ascii="Times New Roman" w:hAnsi="Times New Roman"/>
          <w:b/>
          <w:color w:val="000000" w:themeColor="text1"/>
          <w:spacing w:val="-5"/>
          <w:sz w:val="22"/>
          <w:szCs w:val="22"/>
          <w:lang w:val="bg-BG"/>
        </w:rPr>
      </w:pPr>
      <w:r w:rsidRPr="004032F6">
        <w:rPr>
          <w:rFonts w:ascii="Times New Roman" w:hAnsi="Times New Roman"/>
          <w:b/>
          <w:color w:val="000000" w:themeColor="text1"/>
          <w:spacing w:val="-5"/>
          <w:sz w:val="22"/>
          <w:szCs w:val="22"/>
          <w:lang w:val="bg-BG"/>
        </w:rPr>
        <w:lastRenderedPageBreak/>
        <w:t xml:space="preserve">Таблица Срокове </w:t>
      </w:r>
    </w:p>
    <w:tbl>
      <w:tblPr>
        <w:tblW w:w="1034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9"/>
        <w:gridCol w:w="3704"/>
      </w:tblGrid>
      <w:tr w:rsidR="004032F6" w:rsidRPr="004032F6" w14:paraId="504D07AC" w14:textId="77777777" w:rsidTr="004032F6">
        <w:trPr>
          <w:trHeight w:val="930"/>
          <w:jc w:val="center"/>
        </w:trPr>
        <w:tc>
          <w:tcPr>
            <w:tcW w:w="6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DB7D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  <w:t>Дейност</w:t>
            </w:r>
          </w:p>
        </w:tc>
        <w:tc>
          <w:tcPr>
            <w:tcW w:w="3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F8F1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</w:pPr>
            <w:bookmarkStart w:id="2" w:name="_Hlk169272764"/>
            <w:r w:rsidRPr="004032F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  <w:t xml:space="preserve">Срок за изпълнение на дейността </w:t>
            </w:r>
            <w:bookmarkEnd w:id="2"/>
            <w:r w:rsidRPr="004032F6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bg-BG" w:eastAsia="bg-BG"/>
              </w:rPr>
              <w:t>(работни дни)</w:t>
            </w:r>
          </w:p>
        </w:tc>
      </w:tr>
      <w:tr w:rsidR="004032F6" w:rsidRPr="004032F6" w14:paraId="276C63AC" w14:textId="77777777" w:rsidTr="004032F6">
        <w:trPr>
          <w:trHeight w:val="1034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2E52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Анализ и ревизия на вътрешните изисквания за безопасна работа в ограничени пространства, вкл. оценка на практиките към момента - организиране на семинар в рамките на един работен ден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DBA6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4032F6" w:rsidRPr="004032F6" w14:paraId="4975791A" w14:textId="77777777" w:rsidTr="004032F6">
        <w:trPr>
          <w:trHeight w:val="410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7456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 xml:space="preserve">Оглед на конкретен обект 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B939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4032F6" w:rsidRPr="004032F6" w14:paraId="2FBEF38A" w14:textId="77777777" w:rsidTr="004032F6">
        <w:trPr>
          <w:trHeight w:val="841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B988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Анализ на риска за достъп и евакуация на посетен обект с предложение на план за евакуация и, при необходимост, предложение/оферта за изпълнение на дейности по обезопасяване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5D24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4032F6" w:rsidRPr="004032F6" w14:paraId="0CB3C40A" w14:textId="77777777" w:rsidTr="004032F6">
        <w:trPr>
          <w:trHeight w:val="624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B738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 xml:space="preserve">Монтаж на стационарна осигурителна линия 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C120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4032F6" w:rsidRPr="004032F6" w14:paraId="26F4942F" w14:textId="77777777" w:rsidTr="004032F6">
        <w:trPr>
          <w:trHeight w:val="575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7E2F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 xml:space="preserve">Монтаж на </w:t>
            </w:r>
            <w:proofErr w:type="spellStart"/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самонавиваща</w:t>
            </w:r>
            <w:proofErr w:type="spellEnd"/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 xml:space="preserve"> се осигурителна линия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C702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4032F6" w:rsidRPr="004032F6" w14:paraId="5A2EE300" w14:textId="77777777" w:rsidTr="004032F6">
        <w:trPr>
          <w:trHeight w:val="981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9DAD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Демонстрация-обучение за използване на монтираните обезопасителни линии - 6 учебни часа на група до 8 човека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BE13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  <w:tr w:rsidR="004032F6" w:rsidRPr="004032F6" w14:paraId="786C638F" w14:textId="77777777" w:rsidTr="004032F6">
        <w:trPr>
          <w:trHeight w:val="839"/>
          <w:jc w:val="center"/>
        </w:trPr>
        <w:tc>
          <w:tcPr>
            <w:tcW w:w="6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59D4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Тестване на съществуващи анкерни точки според изискванията на БДС EN 795:2012 или еквивалент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0A43" w14:textId="77777777" w:rsidR="004032F6" w:rsidRPr="004032F6" w:rsidRDefault="004032F6" w:rsidP="004032F6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</w:pPr>
            <w:r w:rsidRPr="004032F6">
              <w:rPr>
                <w:rFonts w:ascii="Times New Roman" w:hAnsi="Times New Roman"/>
                <w:color w:val="000000" w:themeColor="text1"/>
                <w:sz w:val="22"/>
                <w:szCs w:val="22"/>
                <w:lang w:val="bg-BG" w:eastAsia="bg-BG"/>
              </w:rPr>
              <w:t> </w:t>
            </w:r>
          </w:p>
        </w:tc>
      </w:tr>
    </w:tbl>
    <w:p w14:paraId="71346021" w14:textId="77777777" w:rsidR="004032F6" w:rsidRPr="004032F6" w:rsidRDefault="004032F6" w:rsidP="004032F6">
      <w:pPr>
        <w:widowControl w:val="0"/>
        <w:jc w:val="both"/>
        <w:rPr>
          <w:rFonts w:ascii="Times New Roman" w:hAnsi="Times New Roman"/>
          <w:b/>
          <w:i/>
          <w:color w:val="000000" w:themeColor="text1"/>
          <w:sz w:val="22"/>
          <w:szCs w:val="22"/>
          <w:lang w:val="en-US"/>
        </w:rPr>
      </w:pPr>
    </w:p>
    <w:bookmarkEnd w:id="0"/>
    <w:p w14:paraId="2A279395" w14:textId="77777777" w:rsidR="004032F6" w:rsidRPr="004032F6" w:rsidRDefault="004032F6" w:rsidP="004032F6">
      <w:pPr>
        <w:keepLines/>
        <w:tabs>
          <w:tab w:val="left" w:pos="760"/>
        </w:tabs>
        <w:suppressAutoHyphens/>
        <w:jc w:val="both"/>
        <w:rPr>
          <w:rFonts w:ascii="Times New Roman" w:hAnsi="Times New Roman"/>
          <w:b/>
          <w:snapToGrid w:val="0"/>
          <w:color w:val="000000" w:themeColor="text1"/>
          <w:sz w:val="22"/>
          <w:szCs w:val="22"/>
          <w:lang w:val="en-US"/>
        </w:rPr>
      </w:pPr>
    </w:p>
    <w:sectPr w:rsidR="004032F6" w:rsidRPr="004032F6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4" w15:restartNumberingAfterBreak="0">
    <w:nsid w:val="16F14704"/>
    <w:multiLevelType w:val="multilevel"/>
    <w:tmpl w:val="AE4894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2D0AC5"/>
    <w:multiLevelType w:val="multilevel"/>
    <w:tmpl w:val="18AE26FE"/>
    <w:lvl w:ilvl="0">
      <w:start w:val="1"/>
      <w:numFmt w:val="decimal"/>
      <w:lvlText w:val="%1."/>
      <w:lvlJc w:val="left"/>
      <w:pPr>
        <w:ind w:left="720" w:hanging="360"/>
      </w:pPr>
      <w:rPr>
        <w:b/>
        <w:color w:val="2222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7" w15:restartNumberingAfterBreak="0">
    <w:nsid w:val="284801F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9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1A351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i w:val="0"/>
      </w:rPr>
    </w:lvl>
  </w:abstractNum>
  <w:abstractNum w:abstractNumId="11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2" w15:restartNumberingAfterBreak="0">
    <w:nsid w:val="355B2FD5"/>
    <w:multiLevelType w:val="multilevel"/>
    <w:tmpl w:val="C624F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9FA217E"/>
    <w:multiLevelType w:val="multilevel"/>
    <w:tmpl w:val="45DC8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F2534E0"/>
    <w:multiLevelType w:val="hybridMultilevel"/>
    <w:tmpl w:val="5D1A22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DE47A4E"/>
    <w:multiLevelType w:val="multilevel"/>
    <w:tmpl w:val="3586D5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464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 w16cid:durableId="1277716430">
    <w:abstractNumId w:val="14"/>
  </w:num>
  <w:num w:numId="2" w16cid:durableId="1113205206">
    <w:abstractNumId w:val="8"/>
  </w:num>
  <w:num w:numId="3" w16cid:durableId="1397897679">
    <w:abstractNumId w:val="1"/>
  </w:num>
  <w:num w:numId="4" w16cid:durableId="741487705">
    <w:abstractNumId w:val="13"/>
  </w:num>
  <w:num w:numId="5" w16cid:durableId="2125465437">
    <w:abstractNumId w:val="17"/>
  </w:num>
  <w:num w:numId="6" w16cid:durableId="2115511581">
    <w:abstractNumId w:val="2"/>
  </w:num>
  <w:num w:numId="7" w16cid:durableId="1965304426">
    <w:abstractNumId w:val="5"/>
  </w:num>
  <w:num w:numId="8" w16cid:durableId="2004510046">
    <w:abstractNumId w:val="3"/>
  </w:num>
  <w:num w:numId="9" w16cid:durableId="397677502">
    <w:abstractNumId w:val="9"/>
  </w:num>
  <w:num w:numId="10" w16cid:durableId="637881129">
    <w:abstractNumId w:val="11"/>
  </w:num>
  <w:num w:numId="11" w16cid:durableId="767509416">
    <w:abstractNumId w:val="0"/>
  </w:num>
  <w:num w:numId="12" w16cid:durableId="1587034818">
    <w:abstractNumId w:val="10"/>
  </w:num>
  <w:num w:numId="13" w16cid:durableId="783621827">
    <w:abstractNumId w:val="4"/>
  </w:num>
  <w:num w:numId="14" w16cid:durableId="20417790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81159068">
    <w:abstractNumId w:val="7"/>
  </w:num>
  <w:num w:numId="16" w16cid:durableId="1293169496">
    <w:abstractNumId w:val="12"/>
  </w:num>
  <w:num w:numId="17" w16cid:durableId="1293251922">
    <w:abstractNumId w:val="15"/>
  </w:num>
  <w:num w:numId="18" w16cid:durableId="560554979">
    <w:abstractNumId w:val="18"/>
  </w:num>
  <w:num w:numId="19" w16cid:durableId="1220478830">
    <w:abstractNumId w:val="16"/>
  </w:num>
  <w:num w:numId="20" w16cid:durableId="1643241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2061"/>
    <w:rsid w:val="0002474B"/>
    <w:rsid w:val="0005701A"/>
    <w:rsid w:val="0008012B"/>
    <w:rsid w:val="000B6FB5"/>
    <w:rsid w:val="000C5757"/>
    <w:rsid w:val="0013177D"/>
    <w:rsid w:val="00135B10"/>
    <w:rsid w:val="001C6B7A"/>
    <w:rsid w:val="002103F5"/>
    <w:rsid w:val="00267116"/>
    <w:rsid w:val="00294FCC"/>
    <w:rsid w:val="0030269B"/>
    <w:rsid w:val="00351E21"/>
    <w:rsid w:val="003A1E76"/>
    <w:rsid w:val="003C3C81"/>
    <w:rsid w:val="004032F6"/>
    <w:rsid w:val="0046202C"/>
    <w:rsid w:val="004A2BBD"/>
    <w:rsid w:val="004D33A6"/>
    <w:rsid w:val="004F0961"/>
    <w:rsid w:val="004F6BFB"/>
    <w:rsid w:val="00545557"/>
    <w:rsid w:val="0056687C"/>
    <w:rsid w:val="00657491"/>
    <w:rsid w:val="00681CD7"/>
    <w:rsid w:val="006971F7"/>
    <w:rsid w:val="006A6922"/>
    <w:rsid w:val="006C582C"/>
    <w:rsid w:val="006F7E2E"/>
    <w:rsid w:val="007326DE"/>
    <w:rsid w:val="00742A5F"/>
    <w:rsid w:val="007B6398"/>
    <w:rsid w:val="007C2956"/>
    <w:rsid w:val="007E66A4"/>
    <w:rsid w:val="008015E4"/>
    <w:rsid w:val="00811F06"/>
    <w:rsid w:val="0083218D"/>
    <w:rsid w:val="00850BEA"/>
    <w:rsid w:val="009C7C6D"/>
    <w:rsid w:val="009D1216"/>
    <w:rsid w:val="00A719F9"/>
    <w:rsid w:val="00B03FF6"/>
    <w:rsid w:val="00B601E2"/>
    <w:rsid w:val="00BB2368"/>
    <w:rsid w:val="00BF41E3"/>
    <w:rsid w:val="00C069CB"/>
    <w:rsid w:val="00C43997"/>
    <w:rsid w:val="00CB05E7"/>
    <w:rsid w:val="00CB26F4"/>
    <w:rsid w:val="00CD747B"/>
    <w:rsid w:val="00D03773"/>
    <w:rsid w:val="00D508DE"/>
    <w:rsid w:val="00D611B9"/>
    <w:rsid w:val="00DB1F0F"/>
    <w:rsid w:val="00DE54F3"/>
    <w:rsid w:val="00E4332C"/>
    <w:rsid w:val="00E96635"/>
    <w:rsid w:val="00ED13B1"/>
    <w:rsid w:val="00ED3D1D"/>
    <w:rsid w:val="00ED40D6"/>
    <w:rsid w:val="00ED641A"/>
    <w:rsid w:val="00EF44C3"/>
    <w:rsid w:val="00F776BE"/>
    <w:rsid w:val="00FD2F06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table" w:styleId="TableGrid">
    <w:name w:val="Table Grid"/>
    <w:basedOn w:val="TableNormal"/>
    <w:uiPriority w:val="39"/>
    <w:rsid w:val="00B601E2"/>
    <w:pPr>
      <w:spacing w:after="0" w:line="240" w:lineRule="auto"/>
    </w:pPr>
    <w:rPr>
      <w:rFonts w:ascii="Verdana" w:eastAsia="Calibri" w:hAnsi="Verdana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0072B-451C-423E-9B9D-E3F3DED4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21</cp:revision>
  <dcterms:created xsi:type="dcterms:W3CDTF">2023-11-07T08:23:00Z</dcterms:created>
  <dcterms:modified xsi:type="dcterms:W3CDTF">2025-12-16T08:03:00Z</dcterms:modified>
</cp:coreProperties>
</file>